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67667925">
      <w:pPr>
        <w:rPr>
          <w:sz w:val="32"/>
          <w:szCs w:val="32"/>
        </w:rPr>
      </w:pPr>
      <w:r w:rsidR="00D02354">
        <w:drawing>
          <wp:inline wp14:editId="2432EFE3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12729ff54454e3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432EFE3" w:rsidR="00D02354">
        <w:rPr>
          <w:sz w:val="32"/>
          <w:szCs w:val="32"/>
        </w:rPr>
        <w:t>Module</w:t>
      </w:r>
      <w:r w:rsidRPr="2432EFE3" w:rsidR="5884ED94">
        <w:rPr>
          <w:sz w:val="32"/>
          <w:szCs w:val="32"/>
        </w:rPr>
        <w:t xml:space="preserve"> </w:t>
      </w:r>
      <w:r w:rsidRPr="2432EFE3" w:rsidR="5884ED94">
        <w:rPr>
          <w:sz w:val="32"/>
          <w:szCs w:val="32"/>
        </w:rPr>
        <w:t>33: Accrued Revenue (Optional)</w:t>
      </w:r>
      <w:r w:rsidRPr="2432EFE3" w:rsidR="3B8715BB">
        <w:rPr>
          <w:sz w:val="32"/>
          <w:szCs w:val="32"/>
        </w:rPr>
        <w:t>:</w:t>
      </w:r>
      <w:r w:rsidRPr="2432EFE3" w:rsidR="3B8715BB">
        <w:rPr>
          <w:sz w:val="32"/>
          <w:szCs w:val="32"/>
        </w:rPr>
        <w:t xml:space="preserve"> </w:t>
      </w:r>
      <w:r w:rsidRPr="2432EFE3" w:rsidR="411AB621">
        <w:rPr>
          <w:sz w:val="32"/>
          <w:szCs w:val="32"/>
        </w:rPr>
        <w:t xml:space="preserve">      </w:t>
      </w:r>
      <w:r w:rsidRPr="2432EFE3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2432EFE3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432EFE3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1FCA9031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3CE4F96" w:rsidR="6F3B0D9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Examine entries related to accrued and deferred revenue and expenses.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429F348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3CE4F96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73CE4F96" w:rsidR="2D559EDC">
              <w:rPr>
                <w:rFonts w:ascii="Calibri" w:hAnsi="Calibri" w:cs="Calibri" w:asciiTheme="minorAscii" w:hAnsiTheme="minorAscii" w:cstheme="minorAscii"/>
              </w:rPr>
              <w:t>thoroughly</w:t>
            </w:r>
            <w:r w:rsidRPr="73CE4F96" w:rsidR="2D559EDC">
              <w:rPr>
                <w:rFonts w:ascii="Calibri" w:hAnsi="Calibri" w:cs="Calibri" w:asciiTheme="minorAscii" w:hAnsiTheme="minorAscii" w:cstheme="minorAscii"/>
              </w:rPr>
              <w:t xml:space="preserve"> examine entries related to accrued and deferred revenue and expenses.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92C87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DAFD996" w:rsidR="15813D5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Recording </w:t>
            </w:r>
            <w:r w:rsidRPr="4DAFD996" w:rsidR="235B2E5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entries with consistency </w:t>
            </w:r>
            <w:r w:rsidRPr="4DAFD996" w:rsidR="5BB49D5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and can</w:t>
            </w:r>
            <w:r w:rsidRPr="4DAFD996" w:rsidR="55B718E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accurately determine when an entry will be needed.</w:t>
            </w:r>
          </w:p>
          <w:p w:rsidR="55B718E8" w:rsidP="7A7FCDB9" w:rsidRDefault="55B718E8" w14:paraId="18357E49" w14:textId="643D34C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DAFD996" w:rsidR="220B31E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</w:t>
            </w:r>
            <w:r w:rsidRPr="4DAFD996" w:rsidR="55B718E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 the inaccuracies</w:t>
            </w:r>
            <w:r w:rsidRPr="4DAFD996" w:rsidR="0EE7F8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(impact on the </w:t>
            </w:r>
            <w:r w:rsidRPr="4DAFD996" w:rsidR="0EE7F8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fundamental</w:t>
            </w:r>
            <w:r w:rsidRPr="4DAFD996" w:rsidR="0EE7F8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4DAFD996" w:rsidR="0EE7F8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equation</w:t>
            </w:r>
            <w:r w:rsidRPr="4DAFD996" w:rsidR="0EE7F8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)</w:t>
            </w:r>
            <w:r w:rsidRPr="4DAFD996" w:rsidR="55B718E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 the statements if the adjustments are not made. </w:t>
            </w:r>
          </w:p>
          <w:p w:rsidR="6F0DE6B3" w:rsidP="6F0DE6B3" w:rsidRDefault="6F0DE6B3" w14:paraId="5A2664D9" w14:textId="1ED49A69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4270CC45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3CE4F96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73CE4F96" w:rsidR="6F3B0D99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3CE4F96" w:rsidR="39D0A373">
              <w:rPr>
                <w:rFonts w:ascii="Calibri" w:hAnsi="Calibri" w:cs="Calibri" w:asciiTheme="minorAscii" w:hAnsiTheme="minorAscii" w:cstheme="minorAscii"/>
              </w:rPr>
              <w:t>e</w:t>
            </w:r>
            <w:r w:rsidRPr="73CE4F96" w:rsidR="6F3B0D99">
              <w:rPr>
                <w:rFonts w:ascii="Calibri" w:hAnsi="Calibri" w:cs="Calibri" w:asciiTheme="minorAscii" w:hAnsiTheme="minorAscii" w:cstheme="minorAscii"/>
              </w:rPr>
              <w:t>xamine entries related to accrued and deferred revenue and expenses.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34F5613A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432EFE3" w:rsidR="33D808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2432EFE3" w:rsidR="01A02B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orrectly calculat</w:t>
            </w:r>
            <w:r w:rsidRPr="2432EFE3" w:rsidR="3F3D5D9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2432EFE3" w:rsidR="01A02B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record</w:t>
            </w:r>
            <w:r w:rsidRPr="2432EFE3" w:rsidR="0461CC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2432EFE3" w:rsidR="01A02B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entry needed for accrued expenses such as interest.</w:t>
            </w:r>
          </w:p>
          <w:p w:rsidR="01A02B2E" w:rsidP="7A7FCDB9" w:rsidRDefault="01A02B2E" w14:paraId="2741FE9B" w14:textId="70945D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2432EFE3" w:rsidR="05FE61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2432EFE3" w:rsidR="01A02B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orrectly record</w:t>
            </w:r>
            <w:r w:rsidRPr="2432EFE3" w:rsidR="01A02B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adjust</w:t>
            </w:r>
            <w:r w:rsidRPr="2432EFE3" w:rsidR="51ECEE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2432EFE3" w:rsidR="01A02B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entry for prepaid/deferred expenses such as supplies, insurance, interest and salaries.</w:t>
            </w:r>
          </w:p>
          <w:p w:rsidR="01A02B2E" w:rsidP="6F0DE6B3" w:rsidRDefault="01A02B2E" w14:paraId="61C2E7F6" w14:textId="59AB4E5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2432EFE3" w:rsidR="0EB9A1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2432EFE3" w:rsidR="01A02B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orrectly record the adjusting entry for accrued revenue such as interest.</w:t>
            </w:r>
          </w:p>
          <w:p w:rsidR="01A02B2E" w:rsidP="6F0DE6B3" w:rsidRDefault="01A02B2E" w14:paraId="22D07D70" w14:textId="0A3DE6E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2432EFE3" w:rsidR="17AF75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2432EFE3" w:rsidR="01A02B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orrectly record the adjusting entry for unearned revenue.</w:t>
            </w:r>
          </w:p>
          <w:p w:rsidR="38AAD0C3" w:rsidP="2432EFE3" w:rsidRDefault="38AAD0C3" w14:paraId="492043ED" w14:textId="3F420EC7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2432EFE3" w:rsidR="3BE36E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2432EFE3" w:rsidR="01A02B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onsistently</w:t>
            </w:r>
            <w:r w:rsidRPr="2432EFE3" w:rsidR="01A02B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correctly determine when a reversing entry is required for a multitude of adjustment entries. </w:t>
            </w: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1B8084B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3CE4F96" w:rsidR="6DBE7000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73CE4F96" w:rsidR="2A7C1241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73CE4F96" w:rsidR="6DBE7000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206784D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3CE4F96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73CE4F96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73CE4F96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3CE4F96" w:rsidR="5B2484C5">
              <w:rPr>
                <w:rFonts w:ascii="Calibri" w:hAnsi="Calibri" w:cs="Calibri" w:asciiTheme="minorAscii" w:hAnsiTheme="minorAscii" w:cstheme="minorAscii"/>
              </w:rPr>
              <w:t>examining entries related to accrued and deferred revenue and expenses.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5692F7E" w14:textId="2491FBE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DAFD996" w:rsidR="04F3413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</w:t>
            </w:r>
            <w:r w:rsidRPr="4DAFD996" w:rsidR="66EF7D0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ecord</w:t>
            </w:r>
            <w:r w:rsidRPr="4DAFD996" w:rsidR="7B9BD34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4DAFD996" w:rsidR="66EF7D0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basic adjustment with some accuracy but when provided with multiple scenarios </w:t>
            </w:r>
            <w:r w:rsidRPr="4DAFD996" w:rsidR="680B79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cannot</w:t>
            </w:r>
            <w:r w:rsidRPr="4DAFD996" w:rsidR="66EF7D0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determine what type of entry is needed. (</w:t>
            </w:r>
            <w:proofErr w:type="spellStart"/>
            <w:r w:rsidRPr="4DAFD996" w:rsidR="66EF7D0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I.e</w:t>
            </w:r>
            <w:proofErr w:type="spellEnd"/>
            <w:r w:rsidRPr="4DAFD996" w:rsidR="66EF7D0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can do an adjustment for supplies when recorded as an asset </w:t>
            </w:r>
            <w:r w:rsidRPr="4DAFD996" w:rsidR="6D5613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but not as an expense).</w:t>
            </w:r>
          </w:p>
          <w:p w:rsidR="683C5658" w:rsidP="6F0DE6B3" w:rsidRDefault="683C5658" w14:paraId="2BE4A645" w14:textId="467629C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F0DE6B3" w:rsidR="6D5613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Can record the adjustments with some </w:t>
            </w:r>
            <w:r w:rsidRPr="6F0DE6B3" w:rsidR="6D5613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consistency</w:t>
            </w:r>
            <w:r w:rsidRPr="6F0DE6B3" w:rsidR="6D5613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but then cannot determine whether a reversing entry is required.</w:t>
            </w:r>
            <w:r w:rsidRPr="6F0DE6B3" w:rsidR="66EF7D0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004A3A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3CE4F96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73CE4F96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73CE4F96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3CE4F96" w:rsidR="3A31489A">
              <w:rPr>
                <w:rFonts w:ascii="Calibri" w:hAnsi="Calibri" w:cs="Calibri" w:asciiTheme="minorAscii" w:hAnsiTheme="minorAscii" w:cstheme="minorAscii"/>
              </w:rPr>
              <w:t>examining entries related to accrued and deferred revenue and expenses.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7363FD07" w14:textId="0C926FAF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F0DE6B3" w:rsidR="3AD174C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 the concepts of accrued vs prepaids.</w:t>
            </w:r>
          </w:p>
          <w:p w:rsidRPr="007603E2" w:rsidR="00D02354" w:rsidP="6F0DE6B3" w:rsidRDefault="00D02354" w14:paraId="56DB8FB7" w14:textId="2DFBFC3D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F0DE6B3" w:rsidR="3AD174C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 the concepts of accruals vs unearned.</w:t>
            </w:r>
          </w:p>
          <w:p w:rsidRPr="007603E2" w:rsidR="00D02354" w:rsidP="2432EFE3" w:rsidRDefault="00D02354" w14:paraId="310F055C" w14:textId="65A5C92C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1A02B2E"/>
    <w:rsid w:val="03506D8D"/>
    <w:rsid w:val="03B826FA"/>
    <w:rsid w:val="0433686C"/>
    <w:rsid w:val="0461CC86"/>
    <w:rsid w:val="04A94FFD"/>
    <w:rsid w:val="04F34139"/>
    <w:rsid w:val="05FE6111"/>
    <w:rsid w:val="0BF5F957"/>
    <w:rsid w:val="0D5F6D28"/>
    <w:rsid w:val="0DD57FCC"/>
    <w:rsid w:val="0EB9A124"/>
    <w:rsid w:val="0EE7F83F"/>
    <w:rsid w:val="112BE661"/>
    <w:rsid w:val="11F29AD6"/>
    <w:rsid w:val="15813D51"/>
    <w:rsid w:val="15DA368C"/>
    <w:rsid w:val="16F3D3C4"/>
    <w:rsid w:val="17AF7547"/>
    <w:rsid w:val="18111D0E"/>
    <w:rsid w:val="2031E524"/>
    <w:rsid w:val="2055949D"/>
    <w:rsid w:val="220B31E9"/>
    <w:rsid w:val="235B2E5D"/>
    <w:rsid w:val="2432EFE3"/>
    <w:rsid w:val="288E6E4D"/>
    <w:rsid w:val="28C370E3"/>
    <w:rsid w:val="2A7293B4"/>
    <w:rsid w:val="2A7C1241"/>
    <w:rsid w:val="2AB0E56E"/>
    <w:rsid w:val="2D14EE3F"/>
    <w:rsid w:val="2D559EDC"/>
    <w:rsid w:val="2F50E8D4"/>
    <w:rsid w:val="33D808DE"/>
    <w:rsid w:val="35832417"/>
    <w:rsid w:val="37288E89"/>
    <w:rsid w:val="3794E6DE"/>
    <w:rsid w:val="37AB5411"/>
    <w:rsid w:val="38AAD0C3"/>
    <w:rsid w:val="38CF6024"/>
    <w:rsid w:val="39D0A373"/>
    <w:rsid w:val="3A31489A"/>
    <w:rsid w:val="3AD174C7"/>
    <w:rsid w:val="3ADFAA5D"/>
    <w:rsid w:val="3B8715BB"/>
    <w:rsid w:val="3BE36E0E"/>
    <w:rsid w:val="3F3D5D9F"/>
    <w:rsid w:val="411AB621"/>
    <w:rsid w:val="4185C2E2"/>
    <w:rsid w:val="456297AF"/>
    <w:rsid w:val="46130D5E"/>
    <w:rsid w:val="467CF6DD"/>
    <w:rsid w:val="474FA3ED"/>
    <w:rsid w:val="489AFA67"/>
    <w:rsid w:val="49694281"/>
    <w:rsid w:val="4BC4D612"/>
    <w:rsid w:val="4BF03B2B"/>
    <w:rsid w:val="4DAFD996"/>
    <w:rsid w:val="4DF5B6C2"/>
    <w:rsid w:val="51ECEEA9"/>
    <w:rsid w:val="52567C1B"/>
    <w:rsid w:val="55684294"/>
    <w:rsid w:val="55B718E8"/>
    <w:rsid w:val="5884ED94"/>
    <w:rsid w:val="5B19AF65"/>
    <w:rsid w:val="5B2484C5"/>
    <w:rsid w:val="5B50C57C"/>
    <w:rsid w:val="5BB49D50"/>
    <w:rsid w:val="5DD85F31"/>
    <w:rsid w:val="5E9C1634"/>
    <w:rsid w:val="65CEE049"/>
    <w:rsid w:val="65FEE150"/>
    <w:rsid w:val="66C1EA0E"/>
    <w:rsid w:val="66EF7D04"/>
    <w:rsid w:val="671412E0"/>
    <w:rsid w:val="67A5B42A"/>
    <w:rsid w:val="680B7975"/>
    <w:rsid w:val="683C5658"/>
    <w:rsid w:val="690ACE31"/>
    <w:rsid w:val="6988B434"/>
    <w:rsid w:val="6D3CAE42"/>
    <w:rsid w:val="6D561368"/>
    <w:rsid w:val="6DBE7000"/>
    <w:rsid w:val="6F0DE6B3"/>
    <w:rsid w:val="6F3B0D99"/>
    <w:rsid w:val="73CE4F96"/>
    <w:rsid w:val="7769A93D"/>
    <w:rsid w:val="7A7FCDB9"/>
    <w:rsid w:val="7B9BD34A"/>
    <w:rsid w:val="7C2E6B52"/>
    <w:rsid w:val="7DCA3BB3"/>
    <w:rsid w:val="7E6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912729ff54454e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056D8-8086-4128-979C-65F41AF12E63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12</cp:revision>
  <dcterms:created xsi:type="dcterms:W3CDTF">2020-06-10T22:21:00Z</dcterms:created>
  <dcterms:modified xsi:type="dcterms:W3CDTF">2021-04-12T21:15:00Z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